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B61" w14:textId="77777777" w:rsidR="00197A48" w:rsidRPr="00197A48" w:rsidRDefault="00197A48" w:rsidP="00197A48">
      <w:pPr>
        <w:spacing w:after="13"/>
        <w:ind w:right="361"/>
        <w:rPr>
          <w:rFonts w:ascii="Arial" w:hAnsi="Arial" w:cs="Arial"/>
          <w:sz w:val="20"/>
          <w:szCs w:val="20"/>
        </w:rPr>
      </w:pPr>
      <w:r w:rsidRPr="00197A48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7752E682" wp14:editId="4261F4E6">
            <wp:simplePos x="0" y="0"/>
            <wp:positionH relativeFrom="column">
              <wp:posOffset>177165</wp:posOffset>
            </wp:positionH>
            <wp:positionV relativeFrom="paragraph">
              <wp:posOffset>-770890</wp:posOffset>
            </wp:positionV>
            <wp:extent cx="5535930" cy="815975"/>
            <wp:effectExtent l="0" t="0" r="0" b="0"/>
            <wp:wrapSquare wrapText="largest"/>
            <wp:docPr id="1" name="Obraz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A48">
        <w:rPr>
          <w:rFonts w:ascii="Arial" w:eastAsia="Arial" w:hAnsi="Arial" w:cs="Arial"/>
          <w:sz w:val="20"/>
          <w:szCs w:val="20"/>
        </w:rPr>
        <w:t>Załącznik nr 1</w:t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</w:r>
      <w:r w:rsidRPr="00197A48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53824B84" w14:textId="77777777" w:rsidR="00197A48" w:rsidRPr="00197A48" w:rsidRDefault="00197A48" w:rsidP="00197A48">
      <w:pPr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14:paraId="4897FAA4" w14:textId="77777777" w:rsidR="00197A48" w:rsidRPr="00197A48" w:rsidRDefault="00197A48" w:rsidP="00197A48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sz w:val="20"/>
          <w:szCs w:val="20"/>
        </w:rPr>
      </w:pPr>
    </w:p>
    <w:p w14:paraId="097750CE" w14:textId="77777777" w:rsidR="00197A48" w:rsidRPr="00197A48" w:rsidRDefault="00197A48" w:rsidP="00197A48">
      <w:pPr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41639F8A" w14:textId="77777777" w:rsidR="00197A48" w:rsidRPr="00197A48" w:rsidRDefault="00197A48" w:rsidP="00197A48">
      <w:pPr>
        <w:rPr>
          <w:rFonts w:ascii="Arial" w:eastAsia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„</w:t>
      </w:r>
      <w:proofErr w:type="spellStart"/>
      <w:r w:rsidRPr="00197A48">
        <w:rPr>
          <w:rFonts w:ascii="Arial" w:eastAsia="Arial" w:hAnsi="Arial" w:cs="Arial"/>
          <w:sz w:val="20"/>
          <w:szCs w:val="20"/>
        </w:rPr>
        <w:t>Symbiosis</w:t>
      </w:r>
      <w:proofErr w:type="spellEnd"/>
      <w:r w:rsidRPr="00197A48"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25EC4D85" w14:textId="77777777" w:rsidR="00197A48" w:rsidRPr="00197A48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7">
        <w:r w:rsidRPr="00197A48">
          <w:rPr>
            <w:rStyle w:val="ListLabel10"/>
            <w:b w:val="0"/>
          </w:rPr>
          <w:t>info@falbatros.pl</w:t>
        </w:r>
      </w:hyperlink>
      <w:r w:rsidRPr="00197A48">
        <w:rPr>
          <w:rFonts w:ascii="Arial" w:eastAsia="Arial" w:hAnsi="Arial" w:cs="Arial"/>
          <w:b w:val="0"/>
          <w:sz w:val="20"/>
          <w:szCs w:val="20"/>
        </w:rPr>
        <w:t xml:space="preserve">, 664 173 828, 664 950 458 publikuje </w:t>
      </w:r>
    </w:p>
    <w:p w14:paraId="7566BFBB" w14:textId="77777777" w:rsidR="00197A48" w:rsidRPr="00197A48" w:rsidRDefault="00197A48" w:rsidP="00197A48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b w:val="0"/>
          <w:sz w:val="20"/>
          <w:szCs w:val="20"/>
        </w:rPr>
      </w:pPr>
    </w:p>
    <w:p w14:paraId="01D64FAA" w14:textId="0338991E" w:rsidR="00197A48" w:rsidRPr="00197A48" w:rsidRDefault="00197A48" w:rsidP="00197A4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97A48">
        <w:rPr>
          <w:rFonts w:ascii="Arial" w:eastAsia="Arial" w:hAnsi="Arial" w:cs="Arial"/>
          <w:b/>
          <w:sz w:val="20"/>
          <w:szCs w:val="20"/>
        </w:rPr>
        <w:t>OPIS PRZEDMIOTU ZAMÓWIENIA</w:t>
      </w:r>
    </w:p>
    <w:p w14:paraId="15BAE16F" w14:textId="2D5BF740" w:rsidR="00197A48" w:rsidRPr="00197A48" w:rsidRDefault="00197A48" w:rsidP="00197A4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197A48">
        <w:rPr>
          <w:rFonts w:ascii="Arial" w:eastAsia="Arial" w:hAnsi="Arial" w:cs="Arial"/>
          <w:b/>
          <w:sz w:val="20"/>
          <w:szCs w:val="20"/>
        </w:rPr>
        <w:t>na „</w:t>
      </w:r>
      <w:r w:rsidRPr="00197A48">
        <w:rPr>
          <w:rFonts w:ascii="Arial" w:hAnsi="Arial" w:cs="Arial"/>
          <w:b/>
          <w:sz w:val="20"/>
          <w:szCs w:val="20"/>
        </w:rPr>
        <w:t>Dostawa zestawu aparatu do anestezji</w:t>
      </w:r>
      <w:r w:rsidRPr="00197A48">
        <w:rPr>
          <w:rFonts w:ascii="Arial" w:eastAsia="Arial" w:hAnsi="Arial" w:cs="Arial"/>
          <w:b/>
          <w:sz w:val="20"/>
          <w:szCs w:val="20"/>
        </w:rPr>
        <w:t>”</w:t>
      </w:r>
    </w:p>
    <w:p w14:paraId="3D672D67" w14:textId="19465181" w:rsidR="00197A48" w:rsidRPr="00197A48" w:rsidRDefault="00197A48" w:rsidP="00197A48">
      <w:pPr>
        <w:jc w:val="center"/>
        <w:rPr>
          <w:rFonts w:ascii="Arial" w:hAnsi="Arial" w:cs="Arial"/>
          <w:sz w:val="20"/>
          <w:szCs w:val="20"/>
        </w:rPr>
      </w:pPr>
      <w:r w:rsidRPr="00197A48">
        <w:rPr>
          <w:rFonts w:ascii="Arial" w:eastAsia="Arial" w:hAnsi="Arial" w:cs="Arial"/>
          <w:sz w:val="20"/>
          <w:szCs w:val="20"/>
        </w:rPr>
        <w:t>Znak sprawy: 2/ZO/2023</w:t>
      </w:r>
    </w:p>
    <w:p w14:paraId="08945B42" w14:textId="77777777" w:rsidR="00197A48" w:rsidRPr="00EB6E3A" w:rsidRDefault="00197A48" w:rsidP="00197A48">
      <w:pPr>
        <w:pStyle w:val="Nagwek2"/>
        <w:spacing w:after="0" w:line="276" w:lineRule="auto"/>
        <w:ind w:left="0" w:right="362" w:firstLine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Aparat do anestezji zestaw</w:t>
      </w:r>
    </w:p>
    <w:p w14:paraId="3E7DAB8C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Typ: model stołowy</w:t>
      </w:r>
    </w:p>
    <w:p w14:paraId="762AF904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Specyfikacja:</w:t>
      </w:r>
    </w:p>
    <w:p w14:paraId="69A00284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Przepływomierz (zakres nie mniejszy niż 0,1-5,0 L/min)</w:t>
      </w:r>
    </w:p>
    <w:p w14:paraId="3A8D69BB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Manometr</w:t>
      </w:r>
    </w:p>
    <w:p w14:paraId="5E1DF45D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Płynna regulacja ciśnienia zaworu bezpieczeństwa</w:t>
      </w:r>
    </w:p>
    <w:p w14:paraId="3E346DED" w14:textId="77777777" w:rsidR="00197A48" w:rsidRPr="00EB6E3A" w:rsidRDefault="00197A48" w:rsidP="00197A48">
      <w:pPr>
        <w:pStyle w:val="Nagwek2"/>
        <w:spacing w:after="0" w:line="276" w:lineRule="auto"/>
        <w:ind w:left="0" w:right="362" w:firstLine="0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Obejście tlenowe</w:t>
      </w:r>
    </w:p>
    <w:p w14:paraId="7C69E447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Parownik </w:t>
      </w:r>
      <w:proofErr w:type="spellStart"/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izofluranu</w:t>
      </w:r>
      <w:proofErr w:type="spellEnd"/>
    </w:p>
    <w:p w14:paraId="05676711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Pojemnik na wapno sodowane i akcesoria</w:t>
      </w:r>
    </w:p>
    <w:p w14:paraId="6AE9A09C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Zawór bezpieczeństwa do ręcznej wentylacji</w:t>
      </w:r>
    </w:p>
    <w:p w14:paraId="1FC36BAC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Nadaje się dla małych zwierząt (zakres nie mniejszy niż 0,1 kg - 80 kg)</w:t>
      </w:r>
    </w:p>
    <w:p w14:paraId="270667A6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Wymiary (w cm): nie mniej niż: dl 32 x szer. 25 x wys. 51</w:t>
      </w:r>
    </w:p>
    <w:p w14:paraId="405E27FF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BC30DB1" w14:textId="22C320BF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Cs/>
          <w:color w:val="000000" w:themeColor="text1"/>
          <w:sz w:val="20"/>
          <w:szCs w:val="20"/>
        </w:rPr>
        <w:t xml:space="preserve">Koncentratora tlenu x </w:t>
      </w:r>
      <w:r w:rsidR="000D7DB5" w:rsidRPr="00EB6E3A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Pr="00EB6E3A">
        <w:rPr>
          <w:rFonts w:ascii="Arial" w:hAnsi="Arial" w:cs="Arial"/>
          <w:bCs/>
          <w:color w:val="000000" w:themeColor="text1"/>
          <w:sz w:val="20"/>
          <w:szCs w:val="20"/>
        </w:rPr>
        <w:t xml:space="preserve"> szt.</w:t>
      </w:r>
    </w:p>
    <w:p w14:paraId="44F11698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Koncentrator tlenu do stosowania w tlenoterapii i anestezjologii</w:t>
      </w:r>
    </w:p>
    <w:p w14:paraId="6FFC9025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nie wymaga butli z tlenem,</w:t>
      </w:r>
    </w:p>
    <w:p w14:paraId="4732CDDB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Prosta obsługa dzięki przejrzystemu rozmieszczeniu funkcji ustawień i informacji o monitorowaniu</w:t>
      </w:r>
    </w:p>
    <w:p w14:paraId="0310327D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alarmom wizualnym i akustycznym</w:t>
      </w:r>
    </w:p>
    <w:p w14:paraId="1F6D966A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poziom hałasu: nie większy niż 55 </w:t>
      </w:r>
      <w:proofErr w:type="spellStart"/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dbA</w:t>
      </w:r>
      <w:proofErr w:type="spellEnd"/>
    </w:p>
    <w:p w14:paraId="4A303268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natężenie przepływu regulowane w sposób ciągły w zakresie nie mniejszym niż 0,5 - 5 L/min</w:t>
      </w:r>
    </w:p>
    <w:p w14:paraId="360A9EB7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wydajność nie mniejsza niż 93 % tlenu (nie więcej niż ±3 %)</w:t>
      </w:r>
    </w:p>
    <w:p w14:paraId="5077B1A4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nawilżacz bąbelkowy i wąż 02</w:t>
      </w:r>
    </w:p>
    <w:p w14:paraId="1AE6AE48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wymiary (w cm): nie mniej niż dł. 34 x szer. 37 x wys. 67</w:t>
      </w:r>
    </w:p>
    <w:p w14:paraId="1EB8C17F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waga: nie mniej niż 15,3 kg</w:t>
      </w:r>
    </w:p>
    <w:p w14:paraId="30E3E799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Zestaw startowy do anestezji składający się z:</w:t>
      </w:r>
    </w:p>
    <w:p w14:paraId="3238B6D8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dysza do bezpiecznego napełniania środkiem do anestezji</w:t>
      </w:r>
    </w:p>
    <w:p w14:paraId="44CB4347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filtr do gazów ze znieczulenia</w:t>
      </w:r>
    </w:p>
    <w:p w14:paraId="44E0C738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wąż powietrza wywiewanego, nie mniej niż 2 m, transparentny</w:t>
      </w:r>
    </w:p>
    <w:p w14:paraId="7E4793AB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3 x wapno sodowane, nie mniej niż 5L zmieniające kolor</w:t>
      </w:r>
    </w:p>
    <w:p w14:paraId="1AF90FA5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3 x worek oddechowy (o rozmiarach nie mniejszych niż 1, 3 i 5 l)</w:t>
      </w:r>
    </w:p>
    <w:p w14:paraId="5FD9DE9E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6 x maska tlenowa wykonana z tworzywa sztucznego (w zakresie nie mniejszym niż 1- 6)</w:t>
      </w:r>
    </w:p>
    <w:p w14:paraId="443E3DA6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9 x rurka intubacyjna PVC (w zakresie nie mniejszym niż 2,5 - 10,0 mm)</w:t>
      </w:r>
    </w:p>
    <w:p w14:paraId="357EB79B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22CFD283" w14:textId="77313301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Cs/>
          <w:color w:val="000000" w:themeColor="text1"/>
          <w:sz w:val="20"/>
          <w:szCs w:val="20"/>
        </w:rPr>
        <w:t>Laryngoskop</w:t>
      </w:r>
    </w:p>
    <w:p w14:paraId="19CBB0D4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wymienna bateria 1,5 V</w:t>
      </w:r>
    </w:p>
    <w:p w14:paraId="7F3B9B42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64B6233" w14:textId="445B5794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Montaż, szkolenie i uruchomienie w lokalizacji:</w:t>
      </w:r>
    </w:p>
    <w:p w14:paraId="05030650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Gabinet Weterynaryjny Joanna </w:t>
      </w:r>
      <w:proofErr w:type="spellStart"/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Wielogórska</w:t>
      </w:r>
      <w:proofErr w:type="spellEnd"/>
    </w:p>
    <w:p w14:paraId="6015DEFC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Polany 2, 14-230 Zalewo, woj. Warmińsko-mazurskie</w:t>
      </w:r>
    </w:p>
    <w:p w14:paraId="64641E49" w14:textId="77777777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A459D3D" w14:textId="2CC032A8" w:rsidR="00197A48" w:rsidRPr="00EB6E3A" w:rsidRDefault="00197A48" w:rsidP="00197A48">
      <w:pPr>
        <w:pStyle w:val="Nagwek2"/>
        <w:spacing w:after="0" w:line="276" w:lineRule="auto"/>
        <w:ind w:right="362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B6E3A">
        <w:rPr>
          <w:rFonts w:ascii="Arial" w:hAnsi="Arial" w:cs="Arial"/>
          <w:b w:val="0"/>
          <w:color w:val="000000" w:themeColor="text1"/>
          <w:sz w:val="20"/>
          <w:szCs w:val="20"/>
        </w:rPr>
        <w:t>Gwarancja nie krótsza niż 12 miesięcy</w:t>
      </w:r>
    </w:p>
    <w:sectPr w:rsidR="00197A48" w:rsidRPr="00EB6E3A">
      <w:headerReference w:type="default" r:id="rId8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F597" w14:textId="77777777" w:rsidR="00AD2011" w:rsidRDefault="00AD2011">
      <w:pPr>
        <w:spacing w:after="0" w:line="240" w:lineRule="auto"/>
      </w:pPr>
      <w:r>
        <w:separator/>
      </w:r>
    </w:p>
  </w:endnote>
  <w:endnote w:type="continuationSeparator" w:id="0">
    <w:p w14:paraId="65F353AC" w14:textId="77777777" w:rsidR="00AD2011" w:rsidRDefault="00AD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F734" w14:textId="77777777" w:rsidR="00AD2011" w:rsidRDefault="00AD2011">
      <w:pPr>
        <w:spacing w:after="0" w:line="240" w:lineRule="auto"/>
      </w:pPr>
      <w:r>
        <w:separator/>
      </w:r>
    </w:p>
  </w:footnote>
  <w:footnote w:type="continuationSeparator" w:id="0">
    <w:p w14:paraId="418CC574" w14:textId="77777777" w:rsidR="00AD2011" w:rsidRDefault="00AD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F625" w14:textId="77777777" w:rsidR="005A0CB8" w:rsidRDefault="00000000">
    <w:pPr>
      <w:tabs>
        <w:tab w:val="center" w:pos="4536"/>
        <w:tab w:val="right" w:pos="9072"/>
      </w:tabs>
      <w:spacing w:before="708" w:after="0" w:line="240" w:lineRule="auto"/>
    </w:pPr>
  </w:p>
  <w:p w14:paraId="7D7BB411" w14:textId="77777777" w:rsidR="005A0CB8" w:rsidRDefault="00000000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48"/>
    <w:rsid w:val="000D7DB5"/>
    <w:rsid w:val="00197A48"/>
    <w:rsid w:val="00261C67"/>
    <w:rsid w:val="007E6350"/>
    <w:rsid w:val="00954582"/>
    <w:rsid w:val="00A86F15"/>
    <w:rsid w:val="00AD2011"/>
    <w:rsid w:val="00AD4D6D"/>
    <w:rsid w:val="00E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5676"/>
  <w15:chartTrackingRefBased/>
  <w15:docId w15:val="{53B13408-A6A3-4D84-88AC-434CDEC5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A48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97A48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97A48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customStyle="1" w:styleId="ListLabel10">
    <w:name w:val="ListLabel 10"/>
    <w:qFormat/>
    <w:rsid w:val="00197A48"/>
    <w:rPr>
      <w:rFonts w:ascii="Arial" w:eastAsia="Arial" w:hAnsi="Arial" w:cs="Arial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falbatro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Andrzej Pobiedziński</cp:lastModifiedBy>
  <cp:revision>4</cp:revision>
  <dcterms:created xsi:type="dcterms:W3CDTF">2023-06-14T09:30:00Z</dcterms:created>
  <dcterms:modified xsi:type="dcterms:W3CDTF">2023-06-16T10:39:00Z</dcterms:modified>
</cp:coreProperties>
</file>